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горошек зеленый 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и яблок с маслом растительным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птицей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Макаронник с печенью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"Творожная"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Варенец с </w:t>
            </w:r>
            <w:r>
              <w:rPr>
                <w:sz w:val="20"/>
                <w:szCs w:val="20"/>
              </w:rPr>
              <w:t xml:space="preserve">лактулозой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Бефстроганов из отварного мяса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</w:tr>
      <w:tr>
        <w:trPr>
          <w:trHeight w:val="27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гречневая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Томатик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в с/с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1682,9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33,1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1942,7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42,2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426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AD4241-9152-4FBC-9E84-A4AAA5C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2023-07-31T00:58:01Z</dcterms:modified>
</cp:coreProperties>
</file>